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7D4269" w14:textId="08920013"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6A213B" w:rsidRPr="000665EA">
        <w:rPr>
          <w:rFonts w:cs="Arial"/>
          <w:bCs/>
          <w:noProof w:val="0"/>
          <w:sz w:val="24"/>
          <w:szCs w:val="24"/>
        </w:rPr>
        <w:t>1</w:t>
      </w:r>
      <w:r w:rsidR="00762711">
        <w:rPr>
          <w:rFonts w:cs="Arial"/>
          <w:bCs/>
          <w:noProof w:val="0"/>
          <w:sz w:val="24"/>
          <w:szCs w:val="24"/>
        </w:rPr>
        <w:t>4</w:t>
      </w:r>
      <w:r w:rsidR="00044AC7" w:rsidRPr="000665EA">
        <w:rPr>
          <w:rFonts w:cs="Arial"/>
          <w:bCs/>
          <w:noProof w:val="0"/>
          <w:sz w:val="24"/>
          <w:szCs w:val="24"/>
        </w:rPr>
        <w:t>-</w:t>
      </w:r>
      <w:r w:rsidR="006F07C5">
        <w:rPr>
          <w:rFonts w:cs="Arial"/>
          <w:bCs/>
          <w:noProof w:val="0"/>
          <w:sz w:val="24"/>
          <w:szCs w:val="24"/>
        </w:rPr>
        <w:t>bis-</w:t>
      </w:r>
      <w:r w:rsidR="00044AC7" w:rsidRPr="000665EA">
        <w:rPr>
          <w:rFonts w:cs="Arial"/>
          <w:bCs/>
          <w:noProof w:val="0"/>
          <w:sz w:val="24"/>
          <w:szCs w:val="24"/>
        </w:rPr>
        <w:t>e</w:t>
      </w:r>
      <w:r w:rsidR="002C1220" w:rsidRPr="000665EA">
        <w:rPr>
          <w:rFonts w:cs="Arial"/>
          <w:bCs/>
          <w:noProof w:val="0"/>
          <w:sz w:val="24"/>
          <w:szCs w:val="24"/>
        </w:rPr>
        <w:tab/>
        <w:t>R3-</w:t>
      </w:r>
      <w:r w:rsidR="00FA4A45" w:rsidRPr="000665EA">
        <w:rPr>
          <w:rFonts w:cs="Arial"/>
          <w:bCs/>
          <w:noProof w:val="0"/>
          <w:sz w:val="24"/>
          <w:szCs w:val="24"/>
        </w:rPr>
        <w:t>2</w:t>
      </w:r>
      <w:r w:rsidR="006F07C5">
        <w:rPr>
          <w:rFonts w:cs="Arial"/>
          <w:bCs/>
          <w:noProof w:val="0"/>
          <w:sz w:val="24"/>
          <w:szCs w:val="24"/>
        </w:rPr>
        <w:t>20154</w:t>
      </w:r>
    </w:p>
    <w:bookmarkEnd w:id="0"/>
    <w:p w14:paraId="5669B020" w14:textId="6A3C7058" w:rsidR="004C654E" w:rsidRPr="000665EA" w:rsidRDefault="00044AC7" w:rsidP="004C654E">
      <w:pPr>
        <w:pStyle w:val="Header"/>
        <w:tabs>
          <w:tab w:val="left" w:pos="2410"/>
        </w:tabs>
        <w:rPr>
          <w:rFonts w:eastAsia="MS Mincho" w:cs="Arial"/>
          <w:sz w:val="24"/>
          <w:szCs w:val="24"/>
        </w:rPr>
      </w:pPr>
      <w:r w:rsidRPr="000665EA">
        <w:rPr>
          <w:rFonts w:eastAsia="MS Mincho" w:cs="Arial"/>
          <w:sz w:val="24"/>
          <w:szCs w:val="24"/>
        </w:rPr>
        <w:t>E-meeting</w:t>
      </w:r>
      <w:r w:rsidR="00FC5FE8" w:rsidRPr="000665EA">
        <w:rPr>
          <w:rFonts w:eastAsia="MS Mincho" w:cs="Arial"/>
          <w:sz w:val="24"/>
          <w:szCs w:val="24"/>
        </w:rPr>
        <w:t xml:space="preserve">, </w:t>
      </w:r>
      <w:r w:rsidR="006F07C5">
        <w:rPr>
          <w:rFonts w:eastAsia="MS Mincho" w:cs="Arial"/>
          <w:sz w:val="24"/>
          <w:szCs w:val="24"/>
        </w:rPr>
        <w:t>17</w:t>
      </w:r>
      <w:r w:rsidR="00F36DA6" w:rsidRPr="000665EA">
        <w:rPr>
          <w:rFonts w:eastAsia="MS Mincho" w:cs="Arial"/>
          <w:sz w:val="24"/>
          <w:szCs w:val="24"/>
        </w:rPr>
        <w:t xml:space="preserve"> </w:t>
      </w:r>
      <w:r w:rsidR="00477911">
        <w:rPr>
          <w:rFonts w:eastAsia="MS Mincho" w:cs="Arial"/>
          <w:sz w:val="24"/>
          <w:szCs w:val="24"/>
        </w:rPr>
        <w:t xml:space="preserve">– </w:t>
      </w:r>
      <w:r w:rsidR="006F07C5">
        <w:rPr>
          <w:rFonts w:eastAsia="MS Mincho" w:cs="Arial"/>
          <w:sz w:val="24"/>
          <w:szCs w:val="24"/>
        </w:rPr>
        <w:t>26</w:t>
      </w:r>
      <w:r w:rsidR="00477911">
        <w:rPr>
          <w:rFonts w:eastAsia="MS Mincho" w:cs="Arial"/>
          <w:sz w:val="24"/>
          <w:szCs w:val="24"/>
        </w:rPr>
        <w:t xml:space="preserve"> </w:t>
      </w:r>
      <w:r w:rsidR="006F07C5">
        <w:rPr>
          <w:rFonts w:eastAsia="MS Mincho" w:cs="Arial"/>
          <w:sz w:val="24"/>
          <w:szCs w:val="24"/>
        </w:rPr>
        <w:t>January</w:t>
      </w:r>
      <w:r w:rsidR="005F10C3" w:rsidRPr="000665EA">
        <w:rPr>
          <w:rFonts w:eastAsia="MS Mincho" w:cs="Arial"/>
          <w:sz w:val="24"/>
          <w:szCs w:val="24"/>
        </w:rPr>
        <w:t xml:space="preserve"> 20</w:t>
      </w:r>
      <w:r w:rsidR="00FA4A45" w:rsidRPr="000665EA">
        <w:rPr>
          <w:rFonts w:eastAsia="MS Mincho" w:cs="Arial"/>
          <w:sz w:val="24"/>
          <w:szCs w:val="24"/>
        </w:rPr>
        <w:t>2</w:t>
      </w:r>
      <w:r w:rsidR="006F07C5">
        <w:rPr>
          <w:rFonts w:eastAsia="MS Mincho" w:cs="Arial"/>
          <w:sz w:val="24"/>
          <w:szCs w:val="24"/>
        </w:rPr>
        <w:t>2</w:t>
      </w:r>
    </w:p>
    <w:p w14:paraId="2F96B0BD" w14:textId="77777777" w:rsidR="002F2360" w:rsidRPr="000665EA" w:rsidRDefault="002F2360" w:rsidP="002F2360">
      <w:pPr>
        <w:pStyle w:val="Header"/>
        <w:tabs>
          <w:tab w:val="left" w:pos="2410"/>
        </w:tabs>
        <w:rPr>
          <w:bCs/>
          <w:noProof w:val="0"/>
          <w:sz w:val="24"/>
        </w:rPr>
      </w:pPr>
    </w:p>
    <w:p w14:paraId="430718D4" w14:textId="0C988459"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C00CB0">
        <w:rPr>
          <w:rFonts w:cs="Arial"/>
          <w:b/>
          <w:bCs/>
          <w:sz w:val="24"/>
        </w:rPr>
        <w:t>10.5</w:t>
      </w:r>
    </w:p>
    <w:p w14:paraId="02505283" w14:textId="7777777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5E7A28BB" w14:textId="6CBA94A4"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353DF3">
        <w:rPr>
          <w:rFonts w:ascii="Arial" w:hAnsi="Arial" w:cs="Arial"/>
          <w:b/>
          <w:bCs/>
          <w:sz w:val="24"/>
        </w:rPr>
        <w:t xml:space="preserve">Further discussion on MRO and </w:t>
      </w:r>
      <w:r w:rsidR="003F1979">
        <w:rPr>
          <w:rFonts w:ascii="Arial" w:hAnsi="Arial" w:cs="Arial"/>
          <w:b/>
          <w:bCs/>
          <w:sz w:val="24"/>
        </w:rPr>
        <w:t xml:space="preserve">a new problem of </w:t>
      </w:r>
      <w:r w:rsidR="00353DF3">
        <w:rPr>
          <w:rFonts w:ascii="Arial" w:hAnsi="Arial" w:cs="Arial"/>
          <w:b/>
          <w:bCs/>
          <w:sz w:val="24"/>
        </w:rPr>
        <w:t>PCI allocation in NR-U</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68CC32A2" w14:textId="693E8ACE" w:rsidR="00CF56AB" w:rsidRDefault="00C47484" w:rsidP="008572DC">
      <w:bookmarkStart w:id="1" w:name="_Toc474247438"/>
      <w:r>
        <w:t>At RAN3 #11</w:t>
      </w:r>
      <w:r w:rsidR="00353DF3">
        <w:t>4</w:t>
      </w:r>
      <w:r>
        <w:t xml:space="preserve">-e, </w:t>
      </w:r>
      <w:r w:rsidR="00353DF3">
        <w:t xml:space="preserve">an LS was </w:t>
      </w:r>
      <w:proofErr w:type="gramStart"/>
      <w:r w:rsidR="00353DF3">
        <w:t>send</w:t>
      </w:r>
      <w:proofErr w:type="gramEnd"/>
      <w:r w:rsidR="00353DF3">
        <w:t xml:space="preserve"> from RAN3 to clarify information that can possibly be collected at NR-U nodes and then used for MLB reporting. Therefore, until this is clarified, we consider the discussion on MLB to be suspended.</w:t>
      </w:r>
    </w:p>
    <w:p w14:paraId="46E7AE7B" w14:textId="3B4FC9AC" w:rsidR="00353DF3" w:rsidRPr="00C47484" w:rsidRDefault="00353DF3" w:rsidP="008572DC">
      <w:pPr>
        <w:rPr>
          <w:lang w:val="en-US"/>
        </w:rPr>
      </w:pPr>
      <w:r>
        <w:rPr>
          <w:lang w:val="en-US"/>
        </w:rPr>
        <w:t>In this paper, we address further the MRO for NR-U and, possibly, PCI allocation.</w:t>
      </w:r>
    </w:p>
    <w:p w14:paraId="309917E7" w14:textId="77777777" w:rsidR="00051152" w:rsidRPr="000665EA" w:rsidRDefault="00BE5235" w:rsidP="00051152">
      <w:pPr>
        <w:pStyle w:val="Heading1"/>
        <w:tabs>
          <w:tab w:val="left" w:pos="2410"/>
        </w:tabs>
      </w:pPr>
      <w:r w:rsidRPr="000665EA">
        <w:t>2</w:t>
      </w:r>
      <w:r w:rsidR="00051152" w:rsidRPr="000665EA">
        <w:tab/>
      </w:r>
      <w:r w:rsidRPr="000665EA">
        <w:t>Discussion</w:t>
      </w:r>
    </w:p>
    <w:bookmarkEnd w:id="1"/>
    <w:p w14:paraId="224DD12D" w14:textId="2427901C" w:rsidR="00E4441E" w:rsidRDefault="00E4441E" w:rsidP="00E4441E">
      <w:pPr>
        <w:pStyle w:val="Heading2"/>
      </w:pPr>
      <w:r>
        <w:t>2.</w:t>
      </w:r>
      <w:r w:rsidR="00353DF3">
        <w:t>1</w:t>
      </w:r>
      <w:r>
        <w:tab/>
        <w:t>MRO</w:t>
      </w:r>
    </w:p>
    <w:p w14:paraId="7AC77C3F" w14:textId="63262E82" w:rsidR="00C21541" w:rsidRDefault="00C21541" w:rsidP="009C4DBA">
      <w:r>
        <w:t>At the last meeting, the discussion on MRO for NR-U concluded with the following two agreements:</w:t>
      </w:r>
    </w:p>
    <w:p w14:paraId="316EA812" w14:textId="77777777" w:rsidR="00C21541" w:rsidRPr="00583C9B" w:rsidRDefault="00C21541" w:rsidP="00C21541">
      <w:pPr>
        <w:rPr>
          <w:rFonts w:ascii="Calibri" w:hAnsi="Calibri" w:cs="Calibri"/>
          <w:b/>
          <w:color w:val="008000"/>
          <w:sz w:val="18"/>
          <w:szCs w:val="24"/>
        </w:rPr>
      </w:pPr>
      <w:r w:rsidRPr="00583C9B">
        <w:rPr>
          <w:rFonts w:ascii="Calibri" w:hAnsi="Calibri" w:cs="Calibri"/>
          <w:b/>
          <w:color w:val="008000"/>
          <w:sz w:val="18"/>
          <w:szCs w:val="24"/>
        </w:rPr>
        <w:t>MRO support for NR-U requires the UE to provide new information pending to RAN2 progress in R17.</w:t>
      </w:r>
    </w:p>
    <w:p w14:paraId="7D327CD9" w14:textId="77777777" w:rsidR="00C21541" w:rsidRPr="00583C9B" w:rsidRDefault="00C21541" w:rsidP="00C21541">
      <w:pPr>
        <w:rPr>
          <w:rFonts w:ascii="Calibri" w:hAnsi="Calibri" w:cs="Calibri"/>
          <w:b/>
          <w:color w:val="008000"/>
          <w:sz w:val="18"/>
          <w:szCs w:val="24"/>
        </w:rPr>
      </w:pPr>
      <w:r w:rsidRPr="00583C9B">
        <w:rPr>
          <w:rFonts w:ascii="Calibri" w:hAnsi="Calibri" w:cs="Calibri"/>
          <w:b/>
          <w:color w:val="008000"/>
          <w:sz w:val="18"/>
          <w:szCs w:val="24"/>
        </w:rPr>
        <w:t>Enhancements to support NR-U to resolve HOF cases should be prioritised.</w:t>
      </w:r>
    </w:p>
    <w:p w14:paraId="463526E5" w14:textId="3D049074" w:rsidR="00BB25F6" w:rsidRDefault="00C21541" w:rsidP="00BB25F6">
      <w:r>
        <w:t xml:space="preserve">In [1], we provided extensive description how LBT delay may affect HO performance, </w:t>
      </w:r>
      <w:r w:rsidR="00BB25F6">
        <w:t>and the resulting consequences for MRO on top. Intra-frequency mobility requires accurate timing of the cell change, and MRO helps to adjust this timing in a cell-pair individual manner. The delays caused by LBT are spoiling both the handover and the optimization process. Therefore, it essential for MRO applied to NR-U to identify those mobility related RLF which have been caused by the LBT mechanism.</w:t>
      </w:r>
    </w:p>
    <w:p w14:paraId="0021F510" w14:textId="77777777" w:rsidR="00BB25F6" w:rsidRDefault="00BB25F6" w:rsidP="00BB25F6">
      <w:r>
        <w:t xml:space="preserve">All reporting and signalling messages which </w:t>
      </w:r>
      <w:proofErr w:type="gramStart"/>
      <w:r>
        <w:t>have to</w:t>
      </w:r>
      <w:proofErr w:type="gramEnd"/>
      <w:r>
        <w:t xml:space="preserve"> be exchanged during HO process are subject to channel sensing first. Uplink direction is affected two times:</w:t>
      </w:r>
    </w:p>
    <w:p w14:paraId="31C3206F" w14:textId="77777777" w:rsidR="00BB25F6" w:rsidRDefault="00BB25F6" w:rsidP="00BB25F6">
      <w:pPr>
        <w:pStyle w:val="ListParagraph"/>
        <w:numPr>
          <w:ilvl w:val="0"/>
          <w:numId w:val="41"/>
        </w:numPr>
      </w:pPr>
      <w:r>
        <w:t>Measurement event reporting which triggers target cell preparation</w:t>
      </w:r>
    </w:p>
    <w:p w14:paraId="25C00FF4" w14:textId="77777777" w:rsidR="00BB25F6" w:rsidRDefault="00BB25F6" w:rsidP="00BB25F6">
      <w:pPr>
        <w:pStyle w:val="ListParagraph"/>
        <w:numPr>
          <w:ilvl w:val="0"/>
          <w:numId w:val="41"/>
        </w:numPr>
      </w:pPr>
      <w:r>
        <w:t>RACH and synchronization with target cell (which is autonomous CHO-like HO execution)</w:t>
      </w:r>
    </w:p>
    <w:p w14:paraId="5430CC65" w14:textId="77777777" w:rsidR="00BB25F6" w:rsidRDefault="00BB25F6" w:rsidP="00BB25F6">
      <w:pPr>
        <w:rPr>
          <w:lang w:val="en-US"/>
        </w:rPr>
      </w:pPr>
      <w:r>
        <w:rPr>
          <w:lang w:val="en-US"/>
        </w:rPr>
        <w:t xml:space="preserve">If </w:t>
      </w:r>
      <w:proofErr w:type="gramStart"/>
      <w:r>
        <w:rPr>
          <w:lang w:val="en-US"/>
        </w:rPr>
        <w:t>a</w:t>
      </w:r>
      <w:proofErr w:type="gramEnd"/>
      <w:r>
        <w:rPr>
          <w:lang w:val="en-US"/>
        </w:rPr>
        <w:t xml:space="preserve"> RLF/HOF occurs during a handover, it is needed to know which impact was coming from LBT and </w:t>
      </w:r>
      <w:r w:rsidRPr="00790E87">
        <w:rPr>
          <w:lang w:val="en-US"/>
        </w:rPr>
        <w:t>in which phase th</w:t>
      </w:r>
      <w:r>
        <w:rPr>
          <w:lang w:val="en-US"/>
        </w:rPr>
        <w:t xml:space="preserve">e waiting time was </w:t>
      </w:r>
      <w:r w:rsidRPr="00790E87">
        <w:rPr>
          <w:lang w:val="en-US"/>
        </w:rPr>
        <w:t>happen</w:t>
      </w:r>
      <w:r>
        <w:rPr>
          <w:lang w:val="en-US"/>
        </w:rPr>
        <w:t xml:space="preserve">ing. </w:t>
      </w:r>
      <w:r w:rsidRPr="00790E87">
        <w:rPr>
          <w:lang w:val="en-US"/>
        </w:rPr>
        <w:t xml:space="preserve">This information will help the network to determine if a failure belongs to mobility issues or </w:t>
      </w:r>
      <w:r>
        <w:rPr>
          <w:lang w:val="en-US"/>
        </w:rPr>
        <w:t xml:space="preserve">if </w:t>
      </w:r>
      <w:r w:rsidRPr="00790E87">
        <w:rPr>
          <w:lang w:val="en-US"/>
        </w:rPr>
        <w:t xml:space="preserve">it </w:t>
      </w:r>
      <w:r>
        <w:rPr>
          <w:lang w:val="en-US"/>
        </w:rPr>
        <w:t>was heavily impacted by LBT. For the first, MRO can be applied to adjust the handover timing by means of CIO tweaking, while for latter the RLF report can be characterized as spoiled by LBT and can be sorted out.</w:t>
      </w:r>
    </w:p>
    <w:p w14:paraId="6F1E26D7" w14:textId="2CB2C205" w:rsidR="00BB25F6" w:rsidRDefault="00BB25F6" w:rsidP="00BB25F6">
      <w:pPr>
        <w:rPr>
          <w:lang w:val="en-US"/>
        </w:rPr>
      </w:pPr>
      <w:r>
        <w:rPr>
          <w:lang w:val="en-US"/>
        </w:rPr>
        <w:t xml:space="preserve">Even though the second phase of HO execution is more critical, the UE should log the waiting periods for both UL reporting/signaling cases, </w:t>
      </w:r>
      <w:proofErr w:type="gramStart"/>
      <w:r>
        <w:rPr>
          <w:lang w:val="en-US"/>
        </w:rPr>
        <w:t>in order to</w:t>
      </w:r>
      <w:proofErr w:type="gramEnd"/>
      <w:r>
        <w:rPr>
          <w:lang w:val="en-US"/>
        </w:rPr>
        <w:t xml:space="preserve"> have got a full picture of failure case. An </w:t>
      </w:r>
      <w:r w:rsidRPr="00E61EA4">
        <w:rPr>
          <w:lang w:val="en-US"/>
        </w:rPr>
        <w:t>obstructed UL measurement event report</w:t>
      </w:r>
      <w:r>
        <w:rPr>
          <w:lang w:val="en-US"/>
        </w:rPr>
        <w:t xml:space="preserve"> could finally cause a Too Late HO and should be documented, too.</w:t>
      </w:r>
    </w:p>
    <w:p w14:paraId="72C4F260" w14:textId="36126D53" w:rsidR="00BB25F6" w:rsidRDefault="00BB25F6" w:rsidP="00BB25F6">
      <w:pPr>
        <w:rPr>
          <w:lang w:val="en-US"/>
        </w:rPr>
      </w:pPr>
      <w:proofErr w:type="gramStart"/>
      <w:r w:rsidRPr="00FC0738">
        <w:rPr>
          <w:lang w:val="en-US"/>
        </w:rPr>
        <w:t>In order to</w:t>
      </w:r>
      <w:proofErr w:type="gramEnd"/>
      <w:r w:rsidRPr="00FC0738">
        <w:rPr>
          <w:lang w:val="en-US"/>
        </w:rPr>
        <w:t xml:space="preserve"> record these periods on the UE, UE has to be configured with a new UE variable</w:t>
      </w:r>
      <w:r>
        <w:rPr>
          <w:lang w:val="en-US"/>
        </w:rPr>
        <w:t xml:space="preserve"> </w:t>
      </w:r>
      <w:r w:rsidRPr="00FC0738">
        <w:rPr>
          <w:lang w:val="en-US"/>
        </w:rPr>
        <w:t>which consists of at least two entries</w:t>
      </w:r>
      <w:r>
        <w:rPr>
          <w:lang w:val="en-US"/>
        </w:rPr>
        <w:t>. One for the waiting time spent be</w:t>
      </w:r>
      <w:r w:rsidRPr="00FC0738">
        <w:rPr>
          <w:lang w:val="en-US"/>
        </w:rPr>
        <w:t>for</w:t>
      </w:r>
      <w:r>
        <w:rPr>
          <w:lang w:val="en-US"/>
        </w:rPr>
        <w:t>e</w:t>
      </w:r>
      <w:r w:rsidRPr="00FC0738">
        <w:rPr>
          <w:lang w:val="en-US"/>
        </w:rPr>
        <w:t xml:space="preserve"> event-triggered </w:t>
      </w:r>
      <w:r>
        <w:rPr>
          <w:lang w:val="en-US"/>
        </w:rPr>
        <w:t xml:space="preserve">measurement report could be sent, and another one for the waiting time spent before RACH could be sent to new target cell. </w:t>
      </w:r>
      <w:r w:rsidRPr="0018686B">
        <w:rPr>
          <w:lang w:val="en-US"/>
        </w:rPr>
        <w:t xml:space="preserve">Before sending a </w:t>
      </w:r>
      <w:proofErr w:type="gramStart"/>
      <w:r w:rsidRPr="0018686B">
        <w:rPr>
          <w:lang w:val="en-US"/>
        </w:rPr>
        <w:t>measurement</w:t>
      </w:r>
      <w:proofErr w:type="gramEnd"/>
      <w:r w:rsidRPr="0018686B">
        <w:rPr>
          <w:lang w:val="en-US"/>
        </w:rPr>
        <w:t xml:space="preserve"> event report</w:t>
      </w:r>
      <w:r>
        <w:rPr>
          <w:lang w:val="en-US"/>
        </w:rPr>
        <w:t xml:space="preserve"> or starting the HO execution with RACH</w:t>
      </w:r>
      <w:r w:rsidRPr="0018686B">
        <w:rPr>
          <w:lang w:val="en-US"/>
        </w:rPr>
        <w:t xml:space="preserve">, UE resets the </w:t>
      </w:r>
      <w:r>
        <w:rPr>
          <w:lang w:val="en-US"/>
        </w:rPr>
        <w:t xml:space="preserve">corresponding </w:t>
      </w:r>
      <w:r w:rsidRPr="0018686B">
        <w:rPr>
          <w:lang w:val="en-US"/>
        </w:rPr>
        <w:t xml:space="preserve">variable </w:t>
      </w:r>
      <w:r>
        <w:rPr>
          <w:lang w:val="en-US"/>
        </w:rPr>
        <w:t xml:space="preserve">and enters the time spent when channel access is granted and the message sent. In case of RLF/HOF, these new entries are added to the RLF report, and are </w:t>
      </w:r>
      <w:proofErr w:type="gramStart"/>
      <w:r>
        <w:rPr>
          <w:lang w:val="en-US"/>
        </w:rPr>
        <w:t>taken into account</w:t>
      </w:r>
      <w:proofErr w:type="gramEnd"/>
      <w:r>
        <w:rPr>
          <w:lang w:val="en-US"/>
        </w:rPr>
        <w:t xml:space="preserve"> to decide if RLF information can used for MRO or not.</w:t>
      </w:r>
    </w:p>
    <w:p w14:paraId="089338DA" w14:textId="77777777" w:rsidR="00BB25F6" w:rsidRDefault="00BB25F6" w:rsidP="00BB25F6">
      <w:pPr>
        <w:rPr>
          <w:lang w:val="en-US"/>
        </w:rPr>
      </w:pPr>
      <w:r>
        <w:rPr>
          <w:lang w:val="en-US"/>
        </w:rPr>
        <w:lastRenderedPageBreak/>
        <w:t xml:space="preserve">DL signaling means waiting on network side and, therefore, those waiting times are stored there. The logged information will be in many cases also </w:t>
      </w:r>
      <w:proofErr w:type="gramStart"/>
      <w:r>
        <w:rPr>
          <w:lang w:val="en-US"/>
        </w:rPr>
        <w:t>distributed, since</w:t>
      </w:r>
      <w:proofErr w:type="gramEnd"/>
      <w:r>
        <w:rPr>
          <w:lang w:val="en-US"/>
        </w:rPr>
        <w:t xml:space="preserve"> there will waiting periods when the network sends </w:t>
      </w:r>
      <w:proofErr w:type="spellStart"/>
      <w:r>
        <w:rPr>
          <w:lang w:val="en-US"/>
        </w:rPr>
        <w:t>RRCConfiguration</w:t>
      </w:r>
      <w:proofErr w:type="spellEnd"/>
      <w:r>
        <w:rPr>
          <w:lang w:val="en-US"/>
        </w:rPr>
        <w:t xml:space="preserve"> msg or sends r</w:t>
      </w:r>
      <w:r w:rsidRPr="002979DB">
        <w:rPr>
          <w:lang w:val="en-US"/>
        </w:rPr>
        <w:t>andom access response (RAR)</w:t>
      </w:r>
      <w:r>
        <w:rPr>
          <w:lang w:val="en-US"/>
        </w:rPr>
        <w:t>. Since</w:t>
      </w:r>
      <w:r w:rsidRPr="002979DB">
        <w:rPr>
          <w:lang w:val="en-US"/>
        </w:rPr>
        <w:t xml:space="preserve"> T304 will be started with fulfilment of execution condition, </w:t>
      </w:r>
      <w:proofErr w:type="gramStart"/>
      <w:r w:rsidRPr="002979DB">
        <w:rPr>
          <w:lang w:val="en-US"/>
        </w:rPr>
        <w:t>i.e.</w:t>
      </w:r>
      <w:proofErr w:type="gramEnd"/>
      <w:r w:rsidRPr="002979DB">
        <w:rPr>
          <w:lang w:val="en-US"/>
        </w:rPr>
        <w:t xml:space="preserve"> </w:t>
      </w:r>
      <w:r>
        <w:rPr>
          <w:lang w:val="en-US"/>
        </w:rPr>
        <w:t>LBT caused waiting</w:t>
      </w:r>
      <w:r w:rsidRPr="002979DB">
        <w:rPr>
          <w:lang w:val="en-US"/>
        </w:rPr>
        <w:t xml:space="preserve"> time is included</w:t>
      </w:r>
      <w:r>
        <w:rPr>
          <w:lang w:val="en-US"/>
        </w:rPr>
        <w:t xml:space="preserve"> and might result in increased number of HOFs</w:t>
      </w:r>
      <w:r w:rsidRPr="002979DB">
        <w:rPr>
          <w:lang w:val="en-US"/>
        </w:rPr>
        <w:t>.</w:t>
      </w:r>
    </w:p>
    <w:p w14:paraId="4E186737" w14:textId="7C9332D7" w:rsidR="009C4DBA" w:rsidRDefault="00BB25F6" w:rsidP="006F07C5">
      <w:r>
        <w:rPr>
          <w:lang w:val="en-US"/>
        </w:rPr>
        <w:t>Within MRO, HOFs are typically counted as Too Early Handovers (TEH), if UE reconnects to previous cell, or as Handover to Wrong Cell (HWC), but if waiting time was the dominant root cause, MRO should not take the failure report into account.</w:t>
      </w:r>
    </w:p>
    <w:p w14:paraId="29D716C9" w14:textId="07DA802D" w:rsidR="006F07C5" w:rsidRPr="006F07C5" w:rsidRDefault="006F07C5" w:rsidP="006F07C5">
      <w:pPr>
        <w:rPr>
          <w:b/>
          <w:bCs/>
          <w:lang w:val="en-US"/>
        </w:rPr>
      </w:pPr>
      <w:r w:rsidRPr="006F07C5">
        <w:rPr>
          <w:b/>
          <w:bCs/>
          <w:lang w:val="en-US"/>
        </w:rPr>
        <w:t xml:space="preserve">Proposal 1-1: </w:t>
      </w:r>
      <w:proofErr w:type="gramStart"/>
      <w:r>
        <w:rPr>
          <w:b/>
          <w:bCs/>
          <w:lang w:val="en-US"/>
        </w:rPr>
        <w:t>In order to</w:t>
      </w:r>
      <w:proofErr w:type="gramEnd"/>
      <w:r>
        <w:rPr>
          <w:b/>
          <w:bCs/>
          <w:lang w:val="en-US"/>
        </w:rPr>
        <w:t xml:space="preserve"> properly evaluate HOF cases, </w:t>
      </w:r>
      <w:r w:rsidRPr="006F07C5">
        <w:rPr>
          <w:b/>
          <w:bCs/>
          <w:lang w:val="en-US"/>
        </w:rPr>
        <w:t xml:space="preserve">RAN3 shall request RAN2 to enable reporting of the waiting periods </w:t>
      </w:r>
      <w:r>
        <w:rPr>
          <w:b/>
          <w:bCs/>
          <w:lang w:val="en-US"/>
        </w:rPr>
        <w:t>due to LBT</w:t>
      </w:r>
      <w:r w:rsidRPr="006F07C5">
        <w:rPr>
          <w:b/>
          <w:bCs/>
          <w:lang w:val="en-US"/>
        </w:rPr>
        <w:t>.</w:t>
      </w:r>
    </w:p>
    <w:p w14:paraId="7EDFC259" w14:textId="16CE6317" w:rsidR="00353DF3" w:rsidRDefault="00353DF3" w:rsidP="00353DF3">
      <w:pPr>
        <w:pStyle w:val="Heading2"/>
      </w:pPr>
      <w:r>
        <w:t>2.2</w:t>
      </w:r>
      <w:r>
        <w:tab/>
        <w:t xml:space="preserve">PCI </w:t>
      </w:r>
      <w:r w:rsidR="00C21541">
        <w:t>management</w:t>
      </w:r>
    </w:p>
    <w:p w14:paraId="705F9A5B" w14:textId="2B3112E7" w:rsidR="00353DF3" w:rsidRDefault="00353DF3" w:rsidP="00353DF3">
      <w:r>
        <w:t xml:space="preserve">PCI confusion and collision problem </w:t>
      </w:r>
      <w:proofErr w:type="gramStart"/>
      <w:r>
        <w:t>is</w:t>
      </w:r>
      <w:proofErr w:type="gramEnd"/>
      <w:r>
        <w:t xml:space="preserve"> known since LTE and exists also in NR. In case of services deployed in unlicensed spectrum it is usually even greater: such nodes are often deployed in uncoordinated manner (or with very rudimentary planning) and activated temporarily. This means gNB operating in NR-U </w:t>
      </w:r>
      <w:r w:rsidR="00A01F83">
        <w:t>may frequently deal with the PCI collision and confusion.</w:t>
      </w:r>
    </w:p>
    <w:p w14:paraId="061DE026" w14:textId="476A92C7" w:rsidR="00A01F83" w:rsidRDefault="00A01F83" w:rsidP="00353DF3">
      <w:r>
        <w:t xml:space="preserve">PCI collision (two neighbours use the same PCI) is relatively easy to be handled: the activated node may collect information on surrounding cells (and possibly their neighbours) using own DL measurements or based on the </w:t>
      </w:r>
      <w:proofErr w:type="spellStart"/>
      <w:r>
        <w:t>Xn</w:t>
      </w:r>
      <w:proofErr w:type="spellEnd"/>
      <w:r>
        <w:t xml:space="preserve"> setup information. However, PCI confusion is harder to </w:t>
      </w:r>
      <w:proofErr w:type="gramStart"/>
      <w:r>
        <w:t>detect:</w:t>
      </w:r>
      <w:proofErr w:type="gramEnd"/>
      <w:r>
        <w:t xml:space="preserve"> it is a situation where the UE can detect two cells with the same PCI, even if they are not neighbours and do not know about each other’s existence. </w:t>
      </w:r>
    </w:p>
    <w:p w14:paraId="5E8DBBE6" w14:textId="2D0B6847" w:rsidR="00A01F83" w:rsidRDefault="00A01F83" w:rsidP="00353DF3">
      <w:r>
        <w:t>The problem is known in LTE (</w:t>
      </w:r>
      <w:proofErr w:type="gramStart"/>
      <w:r>
        <w:t>e.g.</w:t>
      </w:r>
      <w:proofErr w:type="gramEnd"/>
      <w:r>
        <w:t xml:space="preserve"> in LTE-based </w:t>
      </w:r>
      <w:proofErr w:type="spellStart"/>
      <w:r>
        <w:t>MuLTEfire</w:t>
      </w:r>
      <w:proofErr w:type="spellEnd"/>
      <w:r>
        <w:t xml:space="preserve"> system or in HeNB implementations), but not many solutions were specified (beyond the aforementioned DL receiver). </w:t>
      </w:r>
    </w:p>
    <w:p w14:paraId="29AC3D18" w14:textId="23C18397" w:rsidR="00A01F83" w:rsidRPr="007633B3" w:rsidRDefault="00A01F83" w:rsidP="00353DF3">
      <w:pPr>
        <w:rPr>
          <w:b/>
          <w:bCs/>
        </w:rPr>
      </w:pPr>
      <w:r w:rsidRPr="007633B3">
        <w:rPr>
          <w:b/>
          <w:bCs/>
        </w:rPr>
        <w:t>Proposal 2-1: RAN3 shall consider PCI confusion as part of the SON for NR-U.</w:t>
      </w:r>
    </w:p>
    <w:p w14:paraId="51E2003C" w14:textId="681103A6" w:rsidR="00A01F83" w:rsidRDefault="00A01F83" w:rsidP="00353DF3">
      <w:r>
        <w:t xml:space="preserve">Solution may be relatively simple: a node that is activated may, for </w:t>
      </w:r>
      <w:proofErr w:type="gramStart"/>
      <w:r>
        <w:t>a period of time</w:t>
      </w:r>
      <w:proofErr w:type="gramEnd"/>
      <w:r>
        <w:t xml:space="preserve">, only collect </w:t>
      </w:r>
      <w:r w:rsidR="00BF0469">
        <w:t xml:space="preserve">measurements from the UEs, or request its neighbours to collect and provide such measurements. </w:t>
      </w:r>
    </w:p>
    <w:p w14:paraId="6FC5EF6A" w14:textId="1DDC57DC" w:rsidR="00BF0469" w:rsidRPr="007633B3" w:rsidRDefault="00BF0469" w:rsidP="00353DF3">
      <w:pPr>
        <w:rPr>
          <w:b/>
          <w:bCs/>
        </w:rPr>
      </w:pPr>
      <w:r w:rsidRPr="007633B3">
        <w:rPr>
          <w:b/>
          <w:bCs/>
        </w:rPr>
        <w:t xml:space="preserve">Proposal 2-2: RAN3 shall study if </w:t>
      </w:r>
      <w:r w:rsidR="007633B3" w:rsidRPr="007633B3">
        <w:rPr>
          <w:b/>
          <w:bCs/>
        </w:rPr>
        <w:t xml:space="preserve">a newly deployed NR-U node may collect information on possible PCI </w:t>
      </w:r>
      <w:proofErr w:type="spellStart"/>
      <w:r w:rsidR="007633B3" w:rsidRPr="007633B3">
        <w:rPr>
          <w:b/>
          <w:bCs/>
        </w:rPr>
        <w:t>confusins</w:t>
      </w:r>
      <w:proofErr w:type="spellEnd"/>
      <w:r w:rsidR="007633B3" w:rsidRPr="007633B3">
        <w:rPr>
          <w:b/>
          <w:bCs/>
        </w:rPr>
        <w:t xml:space="preserve"> directly from the UEs.</w:t>
      </w:r>
    </w:p>
    <w:p w14:paraId="28E42E52" w14:textId="1CD051D3" w:rsidR="000F16C4" w:rsidRPr="000665EA" w:rsidRDefault="00CD2620" w:rsidP="00E00CEF">
      <w:pPr>
        <w:pStyle w:val="Heading1"/>
      </w:pPr>
      <w:r w:rsidRPr="000665EA">
        <w:t>3</w:t>
      </w:r>
      <w:r w:rsidR="000F16C4" w:rsidRPr="000665EA">
        <w:tab/>
      </w:r>
      <w:r w:rsidRPr="000665EA">
        <w:t>Conclusions</w:t>
      </w:r>
    </w:p>
    <w:p w14:paraId="066BA280" w14:textId="60EC7936" w:rsidR="000D7942" w:rsidRDefault="002F4257" w:rsidP="000D7942">
      <w:pPr>
        <w:jc w:val="both"/>
        <w:rPr>
          <w:bCs/>
        </w:rPr>
      </w:pPr>
      <w:r>
        <w:rPr>
          <w:bCs/>
        </w:rPr>
        <w:t>In this paper,</w:t>
      </w:r>
      <w:r w:rsidR="000D7942">
        <w:rPr>
          <w:bCs/>
        </w:rPr>
        <w:t xml:space="preserve"> we </w:t>
      </w:r>
      <w:r w:rsidR="007633B3">
        <w:rPr>
          <w:bCs/>
        </w:rPr>
        <w:t>propose next steps regarding MRO for NR-U. W</w:t>
      </w:r>
      <w:r w:rsidR="000D7942">
        <w:rPr>
          <w:bCs/>
        </w:rPr>
        <w:t>e have two observations and a proposal:</w:t>
      </w:r>
    </w:p>
    <w:p w14:paraId="512AF0D3" w14:textId="27317BD7" w:rsidR="000D7942" w:rsidRPr="000D7942" w:rsidRDefault="006F07C5" w:rsidP="009C4DBA">
      <w:pPr>
        <w:ind w:left="284"/>
      </w:pPr>
      <w:r w:rsidRPr="006F07C5">
        <w:rPr>
          <w:iCs/>
          <w:lang w:val="en-US"/>
        </w:rPr>
        <w:t xml:space="preserve">Proposal 1-1: </w:t>
      </w:r>
      <w:proofErr w:type="gramStart"/>
      <w:r w:rsidRPr="006F07C5">
        <w:rPr>
          <w:iCs/>
          <w:lang w:val="en-US"/>
        </w:rPr>
        <w:t>In order to</w:t>
      </w:r>
      <w:proofErr w:type="gramEnd"/>
      <w:r w:rsidRPr="006F07C5">
        <w:rPr>
          <w:iCs/>
          <w:lang w:val="en-US"/>
        </w:rPr>
        <w:t xml:space="preserve"> properly evaluate HOF cases, RAN3 shall request RAN2 to enable reporting of the waiting periods due to LBT.</w:t>
      </w:r>
    </w:p>
    <w:p w14:paraId="1B0BDFD8" w14:textId="029B72DF" w:rsidR="007633B3" w:rsidRDefault="007633B3" w:rsidP="008E4B71">
      <w:pPr>
        <w:jc w:val="both"/>
        <w:rPr>
          <w:bCs/>
        </w:rPr>
      </w:pPr>
      <w:r>
        <w:rPr>
          <w:bCs/>
        </w:rPr>
        <w:t xml:space="preserve">We have also </w:t>
      </w:r>
      <w:proofErr w:type="gramStart"/>
      <w:r>
        <w:rPr>
          <w:bCs/>
        </w:rPr>
        <w:t>addressed briefly</w:t>
      </w:r>
      <w:proofErr w:type="gramEnd"/>
      <w:r>
        <w:rPr>
          <w:bCs/>
        </w:rPr>
        <w:t xml:space="preserve"> the issue of PCI confusion and we have proposed:</w:t>
      </w:r>
    </w:p>
    <w:p w14:paraId="1A385EEB" w14:textId="77777777" w:rsidR="006F07C5" w:rsidRDefault="006F07C5" w:rsidP="006F07C5">
      <w:pPr>
        <w:ind w:left="284"/>
      </w:pPr>
      <w:r>
        <w:t>Proposal 2-1: RAN3 shall consider PCI confusion as part of the SON for NR-U.</w:t>
      </w:r>
    </w:p>
    <w:p w14:paraId="2148020B" w14:textId="7F9E0D2C" w:rsidR="007633B3" w:rsidRPr="000D7942" w:rsidRDefault="006F07C5" w:rsidP="006F07C5">
      <w:pPr>
        <w:ind w:left="284"/>
      </w:pPr>
      <w:r>
        <w:t xml:space="preserve">Proposal 2-2: RAN3 shall study if a newly deployed NR-U node may collect information on possible PCI </w:t>
      </w:r>
      <w:proofErr w:type="spellStart"/>
      <w:r>
        <w:t>confusins</w:t>
      </w:r>
      <w:proofErr w:type="spellEnd"/>
      <w:r>
        <w:t xml:space="preserve"> directly from the UEs.</w:t>
      </w:r>
    </w:p>
    <w:p w14:paraId="4B425A8E" w14:textId="72936162" w:rsidR="008E4B71" w:rsidRDefault="008E4B71" w:rsidP="008E4B71">
      <w:pPr>
        <w:jc w:val="both"/>
        <w:rPr>
          <w:bCs/>
        </w:rPr>
      </w:pPr>
      <w:r>
        <w:rPr>
          <w:bCs/>
        </w:rPr>
        <w:t>Draft of the LS is proposed below.</w:t>
      </w:r>
    </w:p>
    <w:p w14:paraId="20E6753D" w14:textId="48992122" w:rsidR="008E4B71" w:rsidRDefault="008E4B71" w:rsidP="008E4B71">
      <w:pPr>
        <w:pStyle w:val="Heading1"/>
      </w:pPr>
      <w:r>
        <w:t>Annex – Draft LS to RAN2</w:t>
      </w:r>
    </w:p>
    <w:p w14:paraId="442C7808" w14:textId="77777777" w:rsidR="008E4B71" w:rsidRDefault="008E4B71" w:rsidP="008E4B71"/>
    <w:p w14:paraId="6537A421" w14:textId="77777777" w:rsidR="009C4DBA" w:rsidRPr="008C57BB" w:rsidRDefault="009C4DBA" w:rsidP="009C4DBA">
      <w:pPr>
        <w:spacing w:after="120"/>
        <w:rPr>
          <w:rFonts w:ascii="Calibri" w:hAnsi="Calibri" w:cs="Arial"/>
          <w:b/>
          <w:sz w:val="22"/>
          <w:szCs w:val="22"/>
        </w:rPr>
      </w:pPr>
      <w:r w:rsidRPr="008C57BB">
        <w:rPr>
          <w:rFonts w:ascii="Calibri" w:hAnsi="Calibri" w:cs="Arial"/>
          <w:b/>
          <w:sz w:val="22"/>
          <w:szCs w:val="22"/>
        </w:rPr>
        <w:t>1. Overall Description:</w:t>
      </w:r>
    </w:p>
    <w:p w14:paraId="22A06D2B" w14:textId="4323500D" w:rsidR="009C4DBA" w:rsidRPr="008C57BB" w:rsidRDefault="009C4DBA" w:rsidP="009C4DBA">
      <w:pPr>
        <w:spacing w:after="120"/>
        <w:rPr>
          <w:rFonts w:ascii="Calibri" w:hAnsi="Calibri" w:cs="Arial"/>
          <w:sz w:val="22"/>
          <w:szCs w:val="22"/>
        </w:rPr>
      </w:pPr>
      <w:r w:rsidRPr="008C57BB">
        <w:t xml:space="preserve">Mobility Robustness Optimization (MRO) aims to optimize the handover parameters being responsible for the optimal timing of the handover process. MRO may utilize RLF reports by analysing the causes of radio link failures and handover failures. In NR-U, access in the uplink and downlink can be delayed due to LBT. The error cause </w:t>
      </w:r>
      <w:proofErr w:type="spellStart"/>
      <w:r w:rsidRPr="008C57BB">
        <w:rPr>
          <w:i/>
          <w:iCs/>
        </w:rPr>
        <w:t>lbtFailure</w:t>
      </w:r>
      <w:proofErr w:type="spellEnd"/>
      <w:r w:rsidRPr="008C57BB">
        <w:t xml:space="preserve"> in </w:t>
      </w:r>
      <w:r w:rsidRPr="008C57BB">
        <w:lastRenderedPageBreak/>
        <w:t xml:space="preserve">the RLF is reported by a UE if it detects consistent uplink LBT failures. For an RLF report with cause </w:t>
      </w:r>
      <w:proofErr w:type="spellStart"/>
      <w:r w:rsidRPr="008C57BB">
        <w:rPr>
          <w:i/>
          <w:iCs/>
        </w:rPr>
        <w:t>lbtFailure</w:t>
      </w:r>
      <w:proofErr w:type="spellEnd"/>
      <w:r w:rsidRPr="008C57BB">
        <w:t xml:space="preserve"> is a clear indication that the failure does not result from handover parameter setting and, therefore, MRO would not help either. However, in general, MRO applied in CHO, cannot know if RLF happened due to the additional delays introduced by LBT and LBT failures which do not directly result in </w:t>
      </w:r>
      <w:proofErr w:type="spellStart"/>
      <w:r w:rsidRPr="008C57BB">
        <w:rPr>
          <w:i/>
          <w:iCs/>
        </w:rPr>
        <w:t>lbtFailure</w:t>
      </w:r>
      <w:proofErr w:type="spellEnd"/>
      <w:r>
        <w:rPr>
          <w:i/>
          <w:iCs/>
        </w:rPr>
        <w:t xml:space="preserve"> </w:t>
      </w:r>
      <w:r w:rsidRPr="00D46B8C">
        <w:t>or</w:t>
      </w:r>
      <w:r>
        <w:t xml:space="preserve"> due to real mobility failures where MRO could help in NR-U also.</w:t>
      </w:r>
    </w:p>
    <w:p w14:paraId="7F88C2AA" w14:textId="77777777" w:rsidR="009C4DBA" w:rsidRPr="008C57BB" w:rsidRDefault="009C4DBA" w:rsidP="009C4DBA">
      <w:pPr>
        <w:spacing w:after="120"/>
        <w:rPr>
          <w:rFonts w:ascii="Calibri" w:hAnsi="Calibri" w:cs="Arial"/>
          <w:sz w:val="22"/>
          <w:szCs w:val="22"/>
        </w:rPr>
      </w:pPr>
    </w:p>
    <w:p w14:paraId="3CA0EEDE" w14:textId="5F554231" w:rsidR="009C4DBA" w:rsidRPr="008C57BB" w:rsidRDefault="009C4DBA" w:rsidP="009C4DBA">
      <w:pPr>
        <w:spacing w:after="120"/>
        <w:rPr>
          <w:rFonts w:ascii="Calibri" w:hAnsi="Calibri" w:cs="Arial"/>
          <w:b/>
          <w:sz w:val="22"/>
          <w:szCs w:val="22"/>
        </w:rPr>
      </w:pPr>
      <w:r w:rsidRPr="008C57BB">
        <w:rPr>
          <w:rFonts w:ascii="Calibri" w:hAnsi="Calibri" w:cs="Arial"/>
          <w:b/>
          <w:sz w:val="22"/>
          <w:szCs w:val="22"/>
        </w:rPr>
        <w:t>2. Actions:</w:t>
      </w:r>
    </w:p>
    <w:p w14:paraId="04F87EE9" w14:textId="69196AB9" w:rsidR="009C4DBA" w:rsidRPr="00506EDA" w:rsidRDefault="009C4DBA" w:rsidP="009C4DBA">
      <w:pPr>
        <w:rPr>
          <w:b/>
          <w:bCs/>
          <w:iCs/>
          <w:lang w:val="en-US"/>
        </w:rPr>
      </w:pPr>
      <w:r w:rsidRPr="008C57BB">
        <w:rPr>
          <w:rFonts w:ascii="Arial" w:hAnsi="Arial" w:cs="Arial"/>
          <w:b/>
        </w:rPr>
        <w:t xml:space="preserve">To RAN2: </w:t>
      </w:r>
      <w:r w:rsidR="00B61A29" w:rsidRPr="00B61A29">
        <w:rPr>
          <w:iCs/>
          <w:lang w:val="en-US"/>
        </w:rPr>
        <w:t>RAN3 kindly asks RAN2 to enable additional UE measurements in the RLF report for the purpose of improving the NR-U MRO solution: waiting time information caused by LBT related to mobility signaling and to the medium access</w:t>
      </w:r>
      <w:r w:rsidR="00B61A29">
        <w:rPr>
          <w:iCs/>
          <w:lang w:val="en-US"/>
        </w:rPr>
        <w:t>.</w:t>
      </w:r>
    </w:p>
    <w:p w14:paraId="01293442" w14:textId="7D7AA5CD" w:rsidR="0022219E" w:rsidRPr="009C4DBA" w:rsidRDefault="0022219E" w:rsidP="009C4DBA">
      <w:pPr>
        <w:spacing w:after="120"/>
        <w:rPr>
          <w:lang w:val="en-US"/>
        </w:rPr>
      </w:pPr>
    </w:p>
    <w:sectPr w:rsidR="0022219E" w:rsidRPr="009C4DB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9F6965" w14:textId="77777777" w:rsidR="00671219" w:rsidRDefault="00671219">
      <w:r>
        <w:separator/>
      </w:r>
    </w:p>
  </w:endnote>
  <w:endnote w:type="continuationSeparator" w:id="0">
    <w:p w14:paraId="709AFF86" w14:textId="77777777" w:rsidR="00671219" w:rsidRDefault="00671219">
      <w:r>
        <w:continuationSeparator/>
      </w:r>
    </w:p>
  </w:endnote>
  <w:endnote w:type="continuationNotice" w:id="1">
    <w:p w14:paraId="76DB5989" w14:textId="77777777" w:rsidR="00671219" w:rsidRDefault="006712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3C9F75" w14:textId="77777777" w:rsidR="00671219" w:rsidRDefault="00671219">
      <w:r>
        <w:separator/>
      </w:r>
    </w:p>
  </w:footnote>
  <w:footnote w:type="continuationSeparator" w:id="0">
    <w:p w14:paraId="25849088" w14:textId="77777777" w:rsidR="00671219" w:rsidRDefault="00671219">
      <w:r>
        <w:continuationSeparator/>
      </w:r>
    </w:p>
  </w:footnote>
  <w:footnote w:type="continuationNotice" w:id="1">
    <w:p w14:paraId="282D431D" w14:textId="77777777" w:rsidR="00671219" w:rsidRDefault="006712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5"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7"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3B87497"/>
    <w:multiLevelType w:val="multilevel"/>
    <w:tmpl w:val="53B87497"/>
    <w:lvl w:ilvl="0">
      <w:start w:val="3"/>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1"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F225713"/>
    <w:multiLevelType w:val="hybridMultilevel"/>
    <w:tmpl w:val="831402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9"/>
  </w:num>
  <w:num w:numId="2">
    <w:abstractNumId w:val="30"/>
  </w:num>
  <w:num w:numId="3">
    <w:abstractNumId w:val="14"/>
  </w:num>
  <w:num w:numId="4">
    <w:abstractNumId w:val="9"/>
  </w:num>
  <w:num w:numId="5">
    <w:abstractNumId w:val="10"/>
  </w:num>
  <w:num w:numId="6">
    <w:abstractNumId w:val="39"/>
  </w:num>
  <w:num w:numId="7">
    <w:abstractNumId w:val="24"/>
  </w:num>
  <w:num w:numId="8">
    <w:abstractNumId w:val="15"/>
  </w:num>
  <w:num w:numId="9">
    <w:abstractNumId w:val="38"/>
  </w:num>
  <w:num w:numId="10">
    <w:abstractNumId w:val="23"/>
  </w:num>
  <w:num w:numId="11">
    <w:abstractNumId w:val="13"/>
  </w:num>
  <w:num w:numId="12">
    <w:abstractNumId w:val="32"/>
  </w:num>
  <w:num w:numId="13">
    <w:abstractNumId w:val="33"/>
  </w:num>
  <w:num w:numId="14">
    <w:abstractNumId w:val="31"/>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8"/>
  </w:num>
  <w:num w:numId="25">
    <w:abstractNumId w:val="26"/>
  </w:num>
  <w:num w:numId="26">
    <w:abstractNumId w:val="16"/>
  </w:num>
  <w:num w:numId="27">
    <w:abstractNumId w:val="20"/>
  </w:num>
  <w:num w:numId="28">
    <w:abstractNumId w:val="36"/>
  </w:num>
  <w:num w:numId="29">
    <w:abstractNumId w:val="37"/>
  </w:num>
  <w:num w:numId="30">
    <w:abstractNumId w:val="25"/>
  </w:num>
  <w:num w:numId="31">
    <w:abstractNumId w:val="22"/>
  </w:num>
  <w:num w:numId="32">
    <w:abstractNumId w:val="17"/>
  </w:num>
  <w:num w:numId="33">
    <w:abstractNumId w:val="27"/>
  </w:num>
  <w:num w:numId="34">
    <w:abstractNumId w:val="12"/>
  </w:num>
  <w:num w:numId="35">
    <w:abstractNumId w:val="11"/>
  </w:num>
  <w:num w:numId="36">
    <w:abstractNumId w:val="35"/>
  </w:num>
  <w:num w:numId="37">
    <w:abstractNumId w:val="21"/>
  </w:num>
  <w:num w:numId="38">
    <w:abstractNumId w:val="28"/>
  </w:num>
  <w:num w:numId="39">
    <w:abstractNumId w:val="40"/>
  </w:num>
  <w:num w:numId="40">
    <w:abstractNumId w:val="29"/>
  </w:num>
  <w:num w:numId="41">
    <w:abstractNumId w:val="3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5853"/>
    <w:rsid w:val="0002700F"/>
    <w:rsid w:val="000304FC"/>
    <w:rsid w:val="00032E6B"/>
    <w:rsid w:val="00033397"/>
    <w:rsid w:val="000342C7"/>
    <w:rsid w:val="000368CB"/>
    <w:rsid w:val="00040095"/>
    <w:rsid w:val="00042620"/>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DC1"/>
    <w:rsid w:val="00082F68"/>
    <w:rsid w:val="0008382D"/>
    <w:rsid w:val="00086000"/>
    <w:rsid w:val="00086B99"/>
    <w:rsid w:val="00090AF9"/>
    <w:rsid w:val="000925FD"/>
    <w:rsid w:val="00093A62"/>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5F50"/>
    <w:rsid w:val="000C6894"/>
    <w:rsid w:val="000C6AF3"/>
    <w:rsid w:val="000C6D96"/>
    <w:rsid w:val="000C7039"/>
    <w:rsid w:val="000C78EF"/>
    <w:rsid w:val="000D458F"/>
    <w:rsid w:val="000D4960"/>
    <w:rsid w:val="000D4D03"/>
    <w:rsid w:val="000D58AB"/>
    <w:rsid w:val="000D7942"/>
    <w:rsid w:val="000D7DAA"/>
    <w:rsid w:val="000E153B"/>
    <w:rsid w:val="000E3312"/>
    <w:rsid w:val="000E5662"/>
    <w:rsid w:val="000E5B70"/>
    <w:rsid w:val="000E72CB"/>
    <w:rsid w:val="000E7E52"/>
    <w:rsid w:val="000F16C4"/>
    <w:rsid w:val="000F4440"/>
    <w:rsid w:val="000F4EBF"/>
    <w:rsid w:val="000F551E"/>
    <w:rsid w:val="000F5C57"/>
    <w:rsid w:val="001000CD"/>
    <w:rsid w:val="00100C6F"/>
    <w:rsid w:val="00101F3D"/>
    <w:rsid w:val="00103188"/>
    <w:rsid w:val="0010459B"/>
    <w:rsid w:val="00105806"/>
    <w:rsid w:val="00106D69"/>
    <w:rsid w:val="00107F32"/>
    <w:rsid w:val="001124BC"/>
    <w:rsid w:val="001127A9"/>
    <w:rsid w:val="0011530D"/>
    <w:rsid w:val="00117A12"/>
    <w:rsid w:val="00120408"/>
    <w:rsid w:val="001219A2"/>
    <w:rsid w:val="00124E93"/>
    <w:rsid w:val="00126062"/>
    <w:rsid w:val="00127A6C"/>
    <w:rsid w:val="001308CC"/>
    <w:rsid w:val="001326A8"/>
    <w:rsid w:val="00132931"/>
    <w:rsid w:val="00132C93"/>
    <w:rsid w:val="001335E3"/>
    <w:rsid w:val="00135755"/>
    <w:rsid w:val="0013680F"/>
    <w:rsid w:val="00140A8D"/>
    <w:rsid w:val="00140AF7"/>
    <w:rsid w:val="00141F05"/>
    <w:rsid w:val="00142564"/>
    <w:rsid w:val="001450A6"/>
    <w:rsid w:val="0014626D"/>
    <w:rsid w:val="0014785F"/>
    <w:rsid w:val="001509F1"/>
    <w:rsid w:val="00151A61"/>
    <w:rsid w:val="00155D37"/>
    <w:rsid w:val="0015684E"/>
    <w:rsid w:val="001577BF"/>
    <w:rsid w:val="001609C9"/>
    <w:rsid w:val="001624A3"/>
    <w:rsid w:val="001629A8"/>
    <w:rsid w:val="00163B5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0EA"/>
    <w:rsid w:val="001F168B"/>
    <w:rsid w:val="001F568A"/>
    <w:rsid w:val="001F63AE"/>
    <w:rsid w:val="001F6772"/>
    <w:rsid w:val="001F6925"/>
    <w:rsid w:val="002002E9"/>
    <w:rsid w:val="00201FD2"/>
    <w:rsid w:val="0020399F"/>
    <w:rsid w:val="00203B4C"/>
    <w:rsid w:val="002055E0"/>
    <w:rsid w:val="0020566E"/>
    <w:rsid w:val="002057BC"/>
    <w:rsid w:val="00205DCD"/>
    <w:rsid w:val="0021049E"/>
    <w:rsid w:val="0021199F"/>
    <w:rsid w:val="002152C3"/>
    <w:rsid w:val="00216A77"/>
    <w:rsid w:val="00216F12"/>
    <w:rsid w:val="002175D9"/>
    <w:rsid w:val="0022219E"/>
    <w:rsid w:val="00222918"/>
    <w:rsid w:val="0022526D"/>
    <w:rsid w:val="00225627"/>
    <w:rsid w:val="0022606D"/>
    <w:rsid w:val="0023050E"/>
    <w:rsid w:val="00230567"/>
    <w:rsid w:val="00230A53"/>
    <w:rsid w:val="00230C70"/>
    <w:rsid w:val="00230CAD"/>
    <w:rsid w:val="002327FF"/>
    <w:rsid w:val="00232E32"/>
    <w:rsid w:val="00233415"/>
    <w:rsid w:val="00237306"/>
    <w:rsid w:val="002407E5"/>
    <w:rsid w:val="00241375"/>
    <w:rsid w:val="0024197E"/>
    <w:rsid w:val="002444C6"/>
    <w:rsid w:val="0024510A"/>
    <w:rsid w:val="002456E8"/>
    <w:rsid w:val="0024727F"/>
    <w:rsid w:val="00247E55"/>
    <w:rsid w:val="002510CE"/>
    <w:rsid w:val="002514BC"/>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2360"/>
    <w:rsid w:val="002F2626"/>
    <w:rsid w:val="002F3A38"/>
    <w:rsid w:val="002F4257"/>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69C"/>
    <w:rsid w:val="00334964"/>
    <w:rsid w:val="00334EE8"/>
    <w:rsid w:val="003368FA"/>
    <w:rsid w:val="003377F6"/>
    <w:rsid w:val="003413A2"/>
    <w:rsid w:val="00341736"/>
    <w:rsid w:val="00341FC1"/>
    <w:rsid w:val="003424D0"/>
    <w:rsid w:val="00342E82"/>
    <w:rsid w:val="003454FC"/>
    <w:rsid w:val="00345A35"/>
    <w:rsid w:val="00346189"/>
    <w:rsid w:val="00346E0E"/>
    <w:rsid w:val="003470D6"/>
    <w:rsid w:val="003474A6"/>
    <w:rsid w:val="00350B3A"/>
    <w:rsid w:val="0035110D"/>
    <w:rsid w:val="00351EFF"/>
    <w:rsid w:val="00353DF3"/>
    <w:rsid w:val="00353EE1"/>
    <w:rsid w:val="0035462D"/>
    <w:rsid w:val="00354716"/>
    <w:rsid w:val="00354A4F"/>
    <w:rsid w:val="003556A5"/>
    <w:rsid w:val="003565BE"/>
    <w:rsid w:val="00356EC2"/>
    <w:rsid w:val="00356FDD"/>
    <w:rsid w:val="00357582"/>
    <w:rsid w:val="00357F79"/>
    <w:rsid w:val="00363711"/>
    <w:rsid w:val="0036469A"/>
    <w:rsid w:val="00365673"/>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30F"/>
    <w:rsid w:val="003D59CD"/>
    <w:rsid w:val="003D68B5"/>
    <w:rsid w:val="003D7C4B"/>
    <w:rsid w:val="003E16BE"/>
    <w:rsid w:val="003E215C"/>
    <w:rsid w:val="003E6986"/>
    <w:rsid w:val="003E7A32"/>
    <w:rsid w:val="003F08A0"/>
    <w:rsid w:val="003F0966"/>
    <w:rsid w:val="003F11E0"/>
    <w:rsid w:val="003F1979"/>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088F"/>
    <w:rsid w:val="00424B9F"/>
    <w:rsid w:val="00426E7A"/>
    <w:rsid w:val="0043223E"/>
    <w:rsid w:val="00433E79"/>
    <w:rsid w:val="004366C3"/>
    <w:rsid w:val="00437774"/>
    <w:rsid w:val="0044028F"/>
    <w:rsid w:val="004446E8"/>
    <w:rsid w:val="0044513F"/>
    <w:rsid w:val="00446DBD"/>
    <w:rsid w:val="00450326"/>
    <w:rsid w:val="00450759"/>
    <w:rsid w:val="0045151B"/>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77911"/>
    <w:rsid w:val="00480550"/>
    <w:rsid w:val="00483AFF"/>
    <w:rsid w:val="00484DBF"/>
    <w:rsid w:val="004862A9"/>
    <w:rsid w:val="00486CD7"/>
    <w:rsid w:val="00487530"/>
    <w:rsid w:val="00490813"/>
    <w:rsid w:val="00490E2A"/>
    <w:rsid w:val="00493F5A"/>
    <w:rsid w:val="00494C2D"/>
    <w:rsid w:val="00495283"/>
    <w:rsid w:val="00495410"/>
    <w:rsid w:val="004964A5"/>
    <w:rsid w:val="004A0703"/>
    <w:rsid w:val="004A0F46"/>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A53"/>
    <w:rsid w:val="00522C51"/>
    <w:rsid w:val="005234FF"/>
    <w:rsid w:val="00526054"/>
    <w:rsid w:val="00526E01"/>
    <w:rsid w:val="00526F12"/>
    <w:rsid w:val="00530762"/>
    <w:rsid w:val="005323EE"/>
    <w:rsid w:val="00534DA0"/>
    <w:rsid w:val="00537356"/>
    <w:rsid w:val="005378E0"/>
    <w:rsid w:val="005411E7"/>
    <w:rsid w:val="00543E6C"/>
    <w:rsid w:val="00544ECE"/>
    <w:rsid w:val="005453BA"/>
    <w:rsid w:val="00552573"/>
    <w:rsid w:val="005536AB"/>
    <w:rsid w:val="00556793"/>
    <w:rsid w:val="0056341C"/>
    <w:rsid w:val="00565087"/>
    <w:rsid w:val="0056573F"/>
    <w:rsid w:val="00566445"/>
    <w:rsid w:val="00566D2C"/>
    <w:rsid w:val="005676E4"/>
    <w:rsid w:val="005731F4"/>
    <w:rsid w:val="00573616"/>
    <w:rsid w:val="005759A2"/>
    <w:rsid w:val="00575FE1"/>
    <w:rsid w:val="00576820"/>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5AC9"/>
    <w:rsid w:val="005F71B4"/>
    <w:rsid w:val="006025D4"/>
    <w:rsid w:val="006042FA"/>
    <w:rsid w:val="00604791"/>
    <w:rsid w:val="006051CC"/>
    <w:rsid w:val="00611566"/>
    <w:rsid w:val="00611E40"/>
    <w:rsid w:val="0061490D"/>
    <w:rsid w:val="006158C6"/>
    <w:rsid w:val="00615CC3"/>
    <w:rsid w:val="00617799"/>
    <w:rsid w:val="00617C52"/>
    <w:rsid w:val="0062034B"/>
    <w:rsid w:val="006204D3"/>
    <w:rsid w:val="00622E1A"/>
    <w:rsid w:val="00631B89"/>
    <w:rsid w:val="00631BA9"/>
    <w:rsid w:val="00632F47"/>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219"/>
    <w:rsid w:val="00671901"/>
    <w:rsid w:val="00672C5E"/>
    <w:rsid w:val="0067441F"/>
    <w:rsid w:val="00682281"/>
    <w:rsid w:val="006822E7"/>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B09B1"/>
    <w:rsid w:val="006B2381"/>
    <w:rsid w:val="006B3C66"/>
    <w:rsid w:val="006B4328"/>
    <w:rsid w:val="006B557A"/>
    <w:rsid w:val="006C1888"/>
    <w:rsid w:val="006C2F1A"/>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07C5"/>
    <w:rsid w:val="006F13B1"/>
    <w:rsid w:val="006F1FA3"/>
    <w:rsid w:val="006F212F"/>
    <w:rsid w:val="006F2E59"/>
    <w:rsid w:val="006F35FD"/>
    <w:rsid w:val="006F4FC0"/>
    <w:rsid w:val="007004C2"/>
    <w:rsid w:val="00701BAD"/>
    <w:rsid w:val="00703834"/>
    <w:rsid w:val="00704F55"/>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2711"/>
    <w:rsid w:val="007633B3"/>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5BF3"/>
    <w:rsid w:val="00796008"/>
    <w:rsid w:val="0079775E"/>
    <w:rsid w:val="007A1C1A"/>
    <w:rsid w:val="007A4B1A"/>
    <w:rsid w:val="007A5B33"/>
    <w:rsid w:val="007A6B98"/>
    <w:rsid w:val="007A6F2F"/>
    <w:rsid w:val="007B19D4"/>
    <w:rsid w:val="007B2C0A"/>
    <w:rsid w:val="007B44AB"/>
    <w:rsid w:val="007B495F"/>
    <w:rsid w:val="007B61E7"/>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9D6"/>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6D6C"/>
    <w:rsid w:val="00887C49"/>
    <w:rsid w:val="00893167"/>
    <w:rsid w:val="0089327F"/>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19E"/>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4B71"/>
    <w:rsid w:val="008E5ADC"/>
    <w:rsid w:val="008E5F5E"/>
    <w:rsid w:val="008F13A1"/>
    <w:rsid w:val="008F1C1B"/>
    <w:rsid w:val="008F1FDD"/>
    <w:rsid w:val="008F5E56"/>
    <w:rsid w:val="008F7C0D"/>
    <w:rsid w:val="009004C7"/>
    <w:rsid w:val="00900782"/>
    <w:rsid w:val="009008E1"/>
    <w:rsid w:val="0090271F"/>
    <w:rsid w:val="00902F2C"/>
    <w:rsid w:val="00903396"/>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7D92"/>
    <w:rsid w:val="009A3390"/>
    <w:rsid w:val="009A3AC7"/>
    <w:rsid w:val="009A482D"/>
    <w:rsid w:val="009A4FD4"/>
    <w:rsid w:val="009A4FD9"/>
    <w:rsid w:val="009A5190"/>
    <w:rsid w:val="009B28F7"/>
    <w:rsid w:val="009B2A0A"/>
    <w:rsid w:val="009B6C3A"/>
    <w:rsid w:val="009B7671"/>
    <w:rsid w:val="009C01DA"/>
    <w:rsid w:val="009C2009"/>
    <w:rsid w:val="009C2AB8"/>
    <w:rsid w:val="009C4014"/>
    <w:rsid w:val="009C4DBA"/>
    <w:rsid w:val="009C55D0"/>
    <w:rsid w:val="009C55E8"/>
    <w:rsid w:val="009C5D10"/>
    <w:rsid w:val="009C67DB"/>
    <w:rsid w:val="009C7DAE"/>
    <w:rsid w:val="009D0FF6"/>
    <w:rsid w:val="009D2318"/>
    <w:rsid w:val="009D30B7"/>
    <w:rsid w:val="009D73C0"/>
    <w:rsid w:val="009E24D9"/>
    <w:rsid w:val="009E3E1E"/>
    <w:rsid w:val="009E48B1"/>
    <w:rsid w:val="009E4BEE"/>
    <w:rsid w:val="009F056C"/>
    <w:rsid w:val="009F17BF"/>
    <w:rsid w:val="009F4335"/>
    <w:rsid w:val="009F482E"/>
    <w:rsid w:val="00A00DC2"/>
    <w:rsid w:val="00A01921"/>
    <w:rsid w:val="00A01F83"/>
    <w:rsid w:val="00A04F4E"/>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903D5"/>
    <w:rsid w:val="00A90B53"/>
    <w:rsid w:val="00A92977"/>
    <w:rsid w:val="00A95D85"/>
    <w:rsid w:val="00A95EC3"/>
    <w:rsid w:val="00A96374"/>
    <w:rsid w:val="00A9671C"/>
    <w:rsid w:val="00AA0C38"/>
    <w:rsid w:val="00AA0F95"/>
    <w:rsid w:val="00AA2EC0"/>
    <w:rsid w:val="00AA4AF2"/>
    <w:rsid w:val="00AA4E8F"/>
    <w:rsid w:val="00AA53C6"/>
    <w:rsid w:val="00AB0E66"/>
    <w:rsid w:val="00AB0EE8"/>
    <w:rsid w:val="00AB14C4"/>
    <w:rsid w:val="00AB30AE"/>
    <w:rsid w:val="00AB3B76"/>
    <w:rsid w:val="00AB43B1"/>
    <w:rsid w:val="00AB7904"/>
    <w:rsid w:val="00AC01D1"/>
    <w:rsid w:val="00AC205B"/>
    <w:rsid w:val="00AC2C87"/>
    <w:rsid w:val="00AC30E3"/>
    <w:rsid w:val="00AC39D1"/>
    <w:rsid w:val="00AC4E7E"/>
    <w:rsid w:val="00AC773F"/>
    <w:rsid w:val="00AD0315"/>
    <w:rsid w:val="00AD48F3"/>
    <w:rsid w:val="00AD6538"/>
    <w:rsid w:val="00AE0FAB"/>
    <w:rsid w:val="00AE131B"/>
    <w:rsid w:val="00AE1816"/>
    <w:rsid w:val="00AE283D"/>
    <w:rsid w:val="00AE4D66"/>
    <w:rsid w:val="00AE5120"/>
    <w:rsid w:val="00AF04A4"/>
    <w:rsid w:val="00AF248A"/>
    <w:rsid w:val="00AF3F37"/>
    <w:rsid w:val="00AF3F7E"/>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E0"/>
    <w:rsid w:val="00B46DFA"/>
    <w:rsid w:val="00B472AE"/>
    <w:rsid w:val="00B47B4C"/>
    <w:rsid w:val="00B53026"/>
    <w:rsid w:val="00B573A0"/>
    <w:rsid w:val="00B575B7"/>
    <w:rsid w:val="00B57BFF"/>
    <w:rsid w:val="00B61A29"/>
    <w:rsid w:val="00B61D56"/>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54D"/>
    <w:rsid w:val="00B80819"/>
    <w:rsid w:val="00B836B3"/>
    <w:rsid w:val="00B92E27"/>
    <w:rsid w:val="00B931D0"/>
    <w:rsid w:val="00B94EC5"/>
    <w:rsid w:val="00B95C0E"/>
    <w:rsid w:val="00BA0F1F"/>
    <w:rsid w:val="00BA2519"/>
    <w:rsid w:val="00BA4DBE"/>
    <w:rsid w:val="00BA79DD"/>
    <w:rsid w:val="00BB05BD"/>
    <w:rsid w:val="00BB25F6"/>
    <w:rsid w:val="00BC11EC"/>
    <w:rsid w:val="00BC1987"/>
    <w:rsid w:val="00BC434A"/>
    <w:rsid w:val="00BC6DEB"/>
    <w:rsid w:val="00BD1EA5"/>
    <w:rsid w:val="00BD24BE"/>
    <w:rsid w:val="00BD2981"/>
    <w:rsid w:val="00BD4231"/>
    <w:rsid w:val="00BD4919"/>
    <w:rsid w:val="00BD5F08"/>
    <w:rsid w:val="00BE0EDA"/>
    <w:rsid w:val="00BE2185"/>
    <w:rsid w:val="00BE3ECA"/>
    <w:rsid w:val="00BE5235"/>
    <w:rsid w:val="00BE543D"/>
    <w:rsid w:val="00BE6022"/>
    <w:rsid w:val="00BF0469"/>
    <w:rsid w:val="00BF21B4"/>
    <w:rsid w:val="00BF3C1E"/>
    <w:rsid w:val="00BF4007"/>
    <w:rsid w:val="00BF41EC"/>
    <w:rsid w:val="00BF5EEB"/>
    <w:rsid w:val="00BF626E"/>
    <w:rsid w:val="00BF77B2"/>
    <w:rsid w:val="00BF79F1"/>
    <w:rsid w:val="00C00499"/>
    <w:rsid w:val="00C009CF"/>
    <w:rsid w:val="00C00CB0"/>
    <w:rsid w:val="00C01A56"/>
    <w:rsid w:val="00C01E2A"/>
    <w:rsid w:val="00C025B4"/>
    <w:rsid w:val="00C063E2"/>
    <w:rsid w:val="00C10D1A"/>
    <w:rsid w:val="00C10EDD"/>
    <w:rsid w:val="00C149EE"/>
    <w:rsid w:val="00C152E8"/>
    <w:rsid w:val="00C16011"/>
    <w:rsid w:val="00C1677D"/>
    <w:rsid w:val="00C17BCE"/>
    <w:rsid w:val="00C2008C"/>
    <w:rsid w:val="00C21541"/>
    <w:rsid w:val="00C22564"/>
    <w:rsid w:val="00C25F8E"/>
    <w:rsid w:val="00C2769B"/>
    <w:rsid w:val="00C30186"/>
    <w:rsid w:val="00C30FFE"/>
    <w:rsid w:val="00C3238A"/>
    <w:rsid w:val="00C32F24"/>
    <w:rsid w:val="00C33079"/>
    <w:rsid w:val="00C3492F"/>
    <w:rsid w:val="00C34CF6"/>
    <w:rsid w:val="00C36A5F"/>
    <w:rsid w:val="00C40DC0"/>
    <w:rsid w:val="00C40E35"/>
    <w:rsid w:val="00C4286B"/>
    <w:rsid w:val="00C430F9"/>
    <w:rsid w:val="00C43CDF"/>
    <w:rsid w:val="00C445F0"/>
    <w:rsid w:val="00C47484"/>
    <w:rsid w:val="00C5249E"/>
    <w:rsid w:val="00C5434A"/>
    <w:rsid w:val="00C600BD"/>
    <w:rsid w:val="00C60947"/>
    <w:rsid w:val="00C622CD"/>
    <w:rsid w:val="00C64429"/>
    <w:rsid w:val="00C64FF9"/>
    <w:rsid w:val="00C66F3D"/>
    <w:rsid w:val="00C67D12"/>
    <w:rsid w:val="00C7097C"/>
    <w:rsid w:val="00C73EC3"/>
    <w:rsid w:val="00C7411C"/>
    <w:rsid w:val="00C74479"/>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100B"/>
    <w:rsid w:val="00CF23EC"/>
    <w:rsid w:val="00CF23EE"/>
    <w:rsid w:val="00CF2409"/>
    <w:rsid w:val="00CF2AF3"/>
    <w:rsid w:val="00CF4536"/>
    <w:rsid w:val="00CF47EC"/>
    <w:rsid w:val="00CF56AB"/>
    <w:rsid w:val="00CF5CB9"/>
    <w:rsid w:val="00CF6B19"/>
    <w:rsid w:val="00CF6FED"/>
    <w:rsid w:val="00D00574"/>
    <w:rsid w:val="00D007C0"/>
    <w:rsid w:val="00D018BE"/>
    <w:rsid w:val="00D01AEB"/>
    <w:rsid w:val="00D072F9"/>
    <w:rsid w:val="00D07600"/>
    <w:rsid w:val="00D079C0"/>
    <w:rsid w:val="00D14570"/>
    <w:rsid w:val="00D20000"/>
    <w:rsid w:val="00D207EB"/>
    <w:rsid w:val="00D20C08"/>
    <w:rsid w:val="00D20D27"/>
    <w:rsid w:val="00D20DF3"/>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0108"/>
    <w:rsid w:val="00DA1BEA"/>
    <w:rsid w:val="00DA243A"/>
    <w:rsid w:val="00DA3072"/>
    <w:rsid w:val="00DA32E6"/>
    <w:rsid w:val="00DA3A2B"/>
    <w:rsid w:val="00DA4E17"/>
    <w:rsid w:val="00DA5797"/>
    <w:rsid w:val="00DA5FE4"/>
    <w:rsid w:val="00DA7A03"/>
    <w:rsid w:val="00DB1818"/>
    <w:rsid w:val="00DB254D"/>
    <w:rsid w:val="00DB7186"/>
    <w:rsid w:val="00DC0F26"/>
    <w:rsid w:val="00DC2754"/>
    <w:rsid w:val="00DC309B"/>
    <w:rsid w:val="00DC4DA2"/>
    <w:rsid w:val="00DC5291"/>
    <w:rsid w:val="00DD2F40"/>
    <w:rsid w:val="00DD34F0"/>
    <w:rsid w:val="00DD3784"/>
    <w:rsid w:val="00DD40A9"/>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7680"/>
    <w:rsid w:val="00E30274"/>
    <w:rsid w:val="00E32ACD"/>
    <w:rsid w:val="00E3347C"/>
    <w:rsid w:val="00E33514"/>
    <w:rsid w:val="00E338CF"/>
    <w:rsid w:val="00E33B0E"/>
    <w:rsid w:val="00E376B0"/>
    <w:rsid w:val="00E4441E"/>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2DC"/>
    <w:rsid w:val="00E72827"/>
    <w:rsid w:val="00E73933"/>
    <w:rsid w:val="00E758E2"/>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408A"/>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31A73"/>
    <w:rsid w:val="00F36482"/>
    <w:rsid w:val="00F36DA6"/>
    <w:rsid w:val="00F371C8"/>
    <w:rsid w:val="00F37743"/>
    <w:rsid w:val="00F402FC"/>
    <w:rsid w:val="00F4160A"/>
    <w:rsid w:val="00F418AD"/>
    <w:rsid w:val="00F41BFB"/>
    <w:rsid w:val="00F41D6C"/>
    <w:rsid w:val="00F42D7E"/>
    <w:rsid w:val="00F4454A"/>
    <w:rsid w:val="00F456C3"/>
    <w:rsid w:val="00F47591"/>
    <w:rsid w:val="00F50F3A"/>
    <w:rsid w:val="00F54760"/>
    <w:rsid w:val="00F54A3D"/>
    <w:rsid w:val="00F56DDF"/>
    <w:rsid w:val="00F57E74"/>
    <w:rsid w:val="00F609E8"/>
    <w:rsid w:val="00F62A26"/>
    <w:rsid w:val="00F6361F"/>
    <w:rsid w:val="00F653B8"/>
    <w:rsid w:val="00F65FC0"/>
    <w:rsid w:val="00F703DE"/>
    <w:rsid w:val="00F70559"/>
    <w:rsid w:val="00F70A2C"/>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CEA"/>
    <w:rsid w:val="00F92D62"/>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F17FE89E-A98C-482A-8B95-2DB231C73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TACChar">
    <w:name w:val="TAC Char"/>
    <w:link w:val="TAC"/>
    <w:qFormat/>
    <w:locked/>
    <w:rsid w:val="00163B58"/>
    <w:rPr>
      <w:rFonts w:ascii="Arial" w:hAnsi="Arial"/>
      <w:sz w:val="18"/>
      <w:lang w:val="en-GB" w:eastAsia="en-US"/>
    </w:rPr>
  </w:style>
  <w:style w:type="character" w:customStyle="1" w:styleId="TAHChar">
    <w:name w:val="TAH Char"/>
    <w:qFormat/>
    <w:rsid w:val="00163B58"/>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80225208">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5AIRPNAIUNRU-1156379521-2611</_dlc_DocId>
    <_dlc_DocIdUrl xmlns="71c5aaf6-e6ce-465b-b873-5148d2a4c105">
      <Url>https://nokia.sharepoint.com/sites/c5g/e2earch/_layouts/15/DocIdRedir.aspx?ID=5AIRPNAIUNRU-1156379521-2611</Url>
      <Description>5AIRPNAIUNRU-1156379521-2611</Description>
    </_dlc_DocIdUrl>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DD5E489-5282-46BE-871C-68D0C98ED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3.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4.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5.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6.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6BEF9E07-C0B7-4A78-B4C1-0E24F863153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7</TotalTime>
  <Pages>3</Pages>
  <Words>1041</Words>
  <Characters>5934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Further discussion on MRO and PCI allocation in NR-U</vt:lpstr>
    </vt:vector>
  </TitlesOfParts>
  <Company>Nokia, Nokia Shanghai Bell</Company>
  <LinksUpToDate>false</LinksUpToDate>
  <CharactersWithSpaces>6962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Further discussion on MRO and a new problem of PCI allocation in NR-U</dc:title>
  <dc:subject>3GPP RAN3 #114-e</dc:subject>
  <dc:creator>Benoist Sébire</dc:creator>
  <cp:keywords>&lt;keyword[, keyword, ]&gt;</cp:keywords>
  <dc:description/>
  <cp:lastModifiedBy>Nokia</cp:lastModifiedBy>
  <cp:revision>87</cp:revision>
  <cp:lastPrinted>2019-03-27T15:16:00Z</cp:lastPrinted>
  <dcterms:created xsi:type="dcterms:W3CDTF">2019-10-03T21:07:00Z</dcterms:created>
  <dcterms:modified xsi:type="dcterms:W3CDTF">2022-01-06T14:57:00Z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e4dc7e71-d729-4eaa-ae9d-524ae5cee1a4</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